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20E05">
      <w:pPr>
        <w:pStyle w:val="6"/>
        <w:bidi w:val="0"/>
        <w:rPr>
          <w:rFonts w:hint="eastAsia" w:eastAsiaTheme="minorEastAsia"/>
          <w:lang w:val="en-US" w:eastAsia="zh-CN"/>
        </w:rPr>
      </w:pPr>
      <w:r>
        <w:rPr>
          <w:rFonts w:hint="eastAsia"/>
        </w:rPr>
        <w:t>什么是全球联保服务（IWS</w:t>
      </w:r>
      <w:r>
        <w:rPr>
          <w:rFonts w:hint="eastAsia"/>
          <w:lang w:eastAsia="zh-CN"/>
        </w:rPr>
        <w:t>）？</w:t>
      </w:r>
    </w:p>
    <w:p w14:paraId="0CE6891C">
      <w:pPr>
        <w:pStyle w:val="9"/>
        <w:keepNext w:val="0"/>
        <w:keepLines w:val="0"/>
        <w:widowControl/>
        <w:suppressLineNumbers w:val="0"/>
        <w:ind w:left="0" w:firstLine="0"/>
        <w:rPr>
          <w:rFonts w:hint="eastAsia" w:asciiTheme="minorEastAsia" w:hAnsiTheme="minorEastAsia" w:eastAsiaTheme="minorEastAsia" w:cstheme="minorEastAsia"/>
          <w:i w:val="0"/>
          <w:iCs w:val="0"/>
          <w:caps w:val="0"/>
          <w:color w:val="000000"/>
          <w:spacing w:val="0"/>
          <w:sz w:val="22"/>
          <w:szCs w:val="22"/>
        </w:rPr>
      </w:pPr>
      <w:r>
        <w:rPr>
          <w:rFonts w:hint="eastAsia" w:asciiTheme="minorEastAsia" w:hAnsiTheme="minorEastAsia" w:eastAsiaTheme="minorEastAsia" w:cstheme="minorEastAsia"/>
          <w:color w:val="666666"/>
          <w:kern w:val="0"/>
          <w:sz w:val="22"/>
          <w:szCs w:val="22"/>
          <w:lang w:val="en-US" w:eastAsia="zh-CN" w:bidi="ar-SA"/>
          <w14:ligatures w14:val="none"/>
        </w:rPr>
        <w:t>• 当用户携带电脑旅行，或者把享有全球联保服务的电脑重新部署到其他国家/地区使用时，如果该款电脑在这些国家或地区发布和销售过，并且依据当地的保修服务协议得到联想或者联想授权的经销商支持，联想全球联保服务（IWS）可以为用户的电脑提供保修服务。</w:t>
      </w:r>
      <w:bookmarkStart w:id="0" w:name="_GoBack"/>
      <w:bookmarkEnd w:id="0"/>
    </w:p>
    <w:p w14:paraId="4E7251BE">
      <w:pPr>
        <w:pStyle w:val="9"/>
        <w:keepNext w:val="0"/>
        <w:keepLines w:val="0"/>
        <w:widowControl/>
        <w:suppressLineNumbers w:val="0"/>
        <w:ind w:left="0" w:firstLine="0"/>
        <w:jc w:val="left"/>
        <w:rPr>
          <w:rFonts w:hint="eastAsia" w:asciiTheme="minorEastAsia" w:hAnsiTheme="minorEastAsia" w:eastAsiaTheme="minorEastAsia" w:cstheme="minorEastAsia"/>
          <w:color w:val="666666"/>
          <w:kern w:val="0"/>
          <w:sz w:val="22"/>
          <w:szCs w:val="22"/>
          <w:lang w:val="en-US" w:eastAsia="zh-CN" w:bidi="ar-SA"/>
          <w14:ligatures w14:val="none"/>
        </w:rPr>
      </w:pPr>
      <w:r>
        <w:rPr>
          <w:rFonts w:hint="eastAsia" w:asciiTheme="minorEastAsia" w:hAnsiTheme="minorEastAsia" w:eastAsiaTheme="minorEastAsia" w:cstheme="minorEastAsia"/>
          <w:color w:val="666666"/>
          <w:kern w:val="0"/>
          <w:sz w:val="22"/>
          <w:szCs w:val="22"/>
          <w:lang w:val="en-US" w:eastAsia="zh-CN" w:bidi="ar-SA"/>
          <w14:ligatures w14:val="none"/>
        </w:rPr>
        <w:t xml:space="preserve">• </w:t>
      </w:r>
      <w:r>
        <w:rPr>
          <w:rFonts w:hint="eastAsia" w:asciiTheme="minorEastAsia" w:hAnsiTheme="minorEastAsia" w:eastAsiaTheme="minorEastAsia" w:cstheme="minorEastAsia"/>
          <w:color w:val="FF0000"/>
          <w:kern w:val="0"/>
          <w:sz w:val="22"/>
          <w:szCs w:val="22"/>
          <w:lang w:val="en-US" w:eastAsia="zh-CN" w:bidi="ar-SA"/>
          <w14:ligatures w14:val="none"/>
        </w:rPr>
        <w:t>IWS的期限基于该电脑在最初被联想或联想授权经销商销售的国家/地区所获取的初始保修限。</w:t>
      </w:r>
    </w:p>
    <w:p w14:paraId="592373F1">
      <w:pPr>
        <w:pStyle w:val="9"/>
        <w:keepNext w:val="0"/>
        <w:keepLines w:val="0"/>
        <w:widowControl/>
        <w:suppressLineNumbers w:val="0"/>
        <w:ind w:left="0" w:firstLine="0"/>
        <w:jc w:val="left"/>
        <w:rPr>
          <w:rFonts w:hint="eastAsia" w:asciiTheme="minorEastAsia" w:hAnsiTheme="minorEastAsia" w:eastAsiaTheme="minorEastAsia" w:cstheme="minorEastAsia"/>
          <w:color w:val="666666"/>
          <w:kern w:val="0"/>
          <w:sz w:val="22"/>
          <w:szCs w:val="22"/>
          <w:lang w:val="en-US" w:eastAsia="zh-CN" w:bidi="ar-SA"/>
          <w14:ligatures w14:val="none"/>
        </w:rPr>
      </w:pPr>
      <w:r>
        <w:rPr>
          <w:rFonts w:hint="eastAsia" w:asciiTheme="minorEastAsia" w:hAnsiTheme="minorEastAsia" w:eastAsiaTheme="minorEastAsia" w:cstheme="minorEastAsia"/>
          <w:color w:val="666666"/>
          <w:kern w:val="0"/>
          <w:sz w:val="22"/>
          <w:szCs w:val="22"/>
          <w:lang w:val="en-US" w:eastAsia="zh-CN" w:bidi="ar-SA"/>
          <w14:ligatures w14:val="none"/>
        </w:rPr>
        <w:t>• 在IWS联系列表中列举了热线电话支持的语言，服务方式取决于目标国家/地区。</w:t>
      </w:r>
    </w:p>
    <w:p w14:paraId="3E42B084">
      <w:pPr>
        <w:pStyle w:val="9"/>
        <w:keepNext w:val="0"/>
        <w:keepLines w:val="0"/>
        <w:widowControl/>
        <w:suppressLineNumbers w:val="0"/>
        <w:ind w:left="0" w:firstLine="0"/>
        <w:jc w:val="left"/>
        <w:rPr>
          <w:rFonts w:hint="eastAsia" w:asciiTheme="minorEastAsia" w:hAnsiTheme="minorEastAsia" w:eastAsiaTheme="minorEastAsia" w:cstheme="minorEastAsia"/>
          <w:color w:val="666666"/>
          <w:kern w:val="0"/>
          <w:sz w:val="22"/>
          <w:szCs w:val="22"/>
          <w:lang w:val="en-US" w:eastAsia="zh-CN" w:bidi="ar-SA"/>
          <w14:ligatures w14:val="none"/>
        </w:rPr>
      </w:pPr>
      <w:r>
        <w:rPr>
          <w:rFonts w:hint="eastAsia" w:asciiTheme="minorEastAsia" w:hAnsiTheme="minorEastAsia" w:eastAsiaTheme="minorEastAsia" w:cstheme="minorEastAsia"/>
          <w:color w:val="666666"/>
          <w:kern w:val="0"/>
          <w:sz w:val="22"/>
          <w:szCs w:val="22"/>
          <w:lang w:val="en-US" w:eastAsia="zh-CN" w:bidi="ar-SA"/>
          <w14:ligatures w14:val="none"/>
        </w:rPr>
        <w:t>• 某些服务和/或部件可能不是在所有国家/地区都有。联想或联想授权经销商可能使用符合当地标准的其他近似的产品或部件来维修或更换用户的产品或部件。比如，如果某产品购买时带了中文键盘，但在其他国家或地区提交了服务请求，如果您同意，联想可能更换其他语言版键盘。</w:t>
      </w:r>
    </w:p>
    <w:p w14:paraId="3A0FD9C8">
      <w:pPr>
        <w:pStyle w:val="9"/>
        <w:keepNext w:val="0"/>
        <w:keepLines w:val="0"/>
        <w:widowControl/>
        <w:suppressLineNumbers w:val="0"/>
        <w:ind w:left="0" w:firstLine="0"/>
        <w:jc w:val="left"/>
        <w:rPr>
          <w:rFonts w:hint="eastAsia" w:asciiTheme="minorEastAsia" w:hAnsiTheme="minorEastAsia" w:eastAsiaTheme="minorEastAsia" w:cstheme="minorEastAsia"/>
          <w:color w:val="666666"/>
          <w:kern w:val="0"/>
          <w:sz w:val="22"/>
          <w:szCs w:val="22"/>
          <w:lang w:val="en-US" w:eastAsia="zh-CN" w:bidi="ar-SA"/>
          <w14:ligatures w14:val="none"/>
        </w:rPr>
      </w:pPr>
      <w:r>
        <w:rPr>
          <w:rFonts w:hint="eastAsia" w:asciiTheme="minorEastAsia" w:hAnsiTheme="minorEastAsia" w:eastAsiaTheme="minorEastAsia" w:cstheme="minorEastAsia"/>
          <w:color w:val="666666"/>
          <w:kern w:val="0"/>
          <w:sz w:val="22"/>
          <w:szCs w:val="22"/>
          <w:lang w:val="en-US" w:eastAsia="zh-CN" w:bidi="ar-SA"/>
          <w14:ligatures w14:val="none"/>
        </w:rPr>
        <w:t>• 某些国家/地区可能在包装、运输和处理的服务时有费用或限制。您或将被告知需要在这些服务中付费的责任。</w:t>
      </w:r>
    </w:p>
    <w:p w14:paraId="52FC5238">
      <w:pPr>
        <w:pStyle w:val="6"/>
        <w:bidi w:val="0"/>
        <w:rPr>
          <w:rFonts w:hint="eastAsia"/>
        </w:rPr>
      </w:pPr>
      <w:r>
        <w:rPr>
          <w:rFonts w:hint="eastAsia"/>
        </w:rPr>
        <w:t>什么不在IWS覆盖范围内？</w:t>
      </w:r>
    </w:p>
    <w:p w14:paraId="1B78CB4B">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IWS的保修范围同机器出厂自带的基础保修服务范围。基础保修服务及IWS服务不涵盖以下内容：</w:t>
      </w:r>
    </w:p>
    <w:p w14:paraId="6101DD9A">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产品的不间断或无错误操作。</w:t>
      </w:r>
    </w:p>
    <w:p w14:paraId="25C2C139">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产品对您的数据造成的丢失或损坏。</w:t>
      </w:r>
    </w:p>
    <w:p w14:paraId="6B86FFBB">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因误用、滥用、事故、修改、不适当的物理或操作环境、自然灾害、电涌、不当维护或未按照产品信息材料使用而导致的故障或损坏。</w:t>
      </w:r>
    </w:p>
    <w:p w14:paraId="5F92683C">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非授权服务提供商拆机造成的损坏。</w:t>
      </w:r>
    </w:p>
    <w:p w14:paraId="56B6F88C">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任何第三方产品的故障或损坏，包括您自主集成到联想产品中的那些产品。</w:t>
      </w:r>
    </w:p>
    <w:p w14:paraId="009599C1">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标识标签已更改或标识标签已被移除的产品或部件</w:t>
      </w:r>
    </w:p>
    <w:p w14:paraId="667EA15D">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为符合微软许可规范，IWS不跨国家或地区覆盖软件相关的问题。在中国大陆购买机器，并前往非中国大陆国家或地区的用户，可向中国区服务提交软件服务需求。强烈推荐用户备份数据或创建恢复介质。</w:t>
      </w:r>
    </w:p>
    <w:p w14:paraId="42B6FAC8">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用户在原国家/地区购买某电脑时也购买了延保或意外保来延长或升级联想保修。IWS不包含增值服务部分。用户仅在增值服务的购买地享有该服务。</w:t>
      </w:r>
    </w:p>
    <w:p w14:paraId="121F2A40">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翻新机不适用于IWS。翻新机可通过其机型信息被识别（比如，翻新机有RRx, XXx, xRR或xxx这样的机型信息）</w:t>
      </w:r>
    </w:p>
    <w:p w14:paraId="28439987">
      <w:pPr>
        <w:pStyle w:val="9"/>
        <w:keepNext w:val="0"/>
        <w:keepLines w:val="0"/>
        <w:widowControl/>
        <w:suppressLineNumbers w:val="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IWS不覆盖设备运输过程中导致的损坏。当重新部署电脑时，请确保所有设备被仔细包装以避免损坏的发生。</w:t>
      </w:r>
    </w:p>
    <w:p w14:paraId="1D558FF1">
      <w:pPr>
        <w:pStyle w:val="9"/>
        <w:keepNext w:val="0"/>
        <w:keepLines w:val="0"/>
        <w:widowControl/>
        <w:suppressLineNumbers w:val="0"/>
        <w:spacing w:after="0" w:afterAutospacing="0"/>
        <w:ind w:left="0" w:firstLine="0"/>
        <w:jc w:val="left"/>
        <w:rPr>
          <w:rFonts w:hint="eastAsia" w:ascii="宋体" w:hAnsi="宋体" w:eastAsia="宋体" w:cs="宋体"/>
          <w:color w:val="666666"/>
          <w:kern w:val="0"/>
          <w:sz w:val="22"/>
          <w:szCs w:val="22"/>
          <w:lang w:val="en-US" w:eastAsia="zh-CN" w:bidi="ar-SA"/>
          <w14:ligatures w14:val="none"/>
        </w:rPr>
      </w:pPr>
      <w:r>
        <w:rPr>
          <w:rFonts w:hint="eastAsia" w:ascii="宋体" w:hAnsi="宋体" w:eastAsia="宋体" w:cs="宋体"/>
          <w:color w:val="666666"/>
          <w:kern w:val="0"/>
          <w:sz w:val="22"/>
          <w:szCs w:val="22"/>
          <w:lang w:val="en-US" w:eastAsia="zh-CN" w:bidi="ar-SA"/>
          <w14:ligatures w14:val="none"/>
        </w:rPr>
        <w:t>· 电功率和电插头在不同的国家/地区有所不同。请确保您希望重新部署的电脑在新的国家/地区兼容。设备常常会受到当地法律约束（尤其是调制解调器）。请确保您的设备为所在国家/地区的法律所接受如果</w:t>
      </w:r>
    </w:p>
    <w:p w14:paraId="785B068E">
      <w:pPr>
        <w:pStyle w:val="6"/>
        <w:bidi w:val="0"/>
        <w:rPr>
          <w:rFonts w:hint="eastAsia"/>
        </w:rPr>
      </w:pPr>
      <w:r>
        <w:rPr>
          <w:rFonts w:hint="eastAsia"/>
        </w:rPr>
        <w:t>适用范围：</w:t>
      </w:r>
    </w:p>
    <w:p w14:paraId="3CB5EDE8">
      <w:pPr>
        <w:pStyle w:val="6"/>
        <w:bidi w:val="0"/>
        <w:ind w:firstLine="420" w:firstLineChars="0"/>
        <w:rPr>
          <w:rFonts w:hint="eastAsia" w:ascii="PingFang SC" w:hAnsi="PingFang SC" w:eastAsia="PingFang SC" w:cs="PingFang SC"/>
          <w:i w:val="0"/>
          <w:iCs w:val="0"/>
          <w:caps w:val="0"/>
          <w:color w:val="000000"/>
          <w:spacing w:val="0"/>
          <w:sz w:val="24"/>
          <w:szCs w:val="24"/>
        </w:rPr>
      </w:pPr>
      <w:r>
        <w:rPr>
          <w:rFonts w:hint="eastAsia" w:ascii="宋体" w:hAnsi="宋体" w:eastAsia="宋体" w:cs="宋体"/>
          <w:color w:val="666666"/>
          <w:kern w:val="0"/>
          <w:sz w:val="22"/>
          <w:szCs w:val="22"/>
          <w:lang w:val="en-US" w:eastAsia="zh-CN" w:bidi="ar-SA"/>
          <w14:ligatures w14:val="none"/>
        </w:rPr>
        <w:t>以上条款和条件适用于Lenovo品牌笔记本电脑产品。（如拯救者、小新、Yoga、天骄等系列）</w:t>
      </w:r>
    </w:p>
    <w:p w14:paraId="3EC0207F">
      <w:pPr>
        <w:spacing w:beforeAutospacing="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0"/>
  <w:bordersDoNotSurroundFooter w:val="0"/>
  <w:documentProtection w:edit="readOnly" w:formatting="1" w:enforcement="1" w:cryptProviderType="rsaFull" w:cryptAlgorithmClass="hash" w:cryptAlgorithmType="typeAny" w:cryptAlgorithmSid="4" w:cryptSpinCount="0" w:hash="KRDOXK1iIOpdSp3la6H7QBgo7Dk=" w:salt="HPqHxswFy/z3tiSh46BsB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C94C1"/>
    <w:rsid w:val="1CFCA397"/>
    <w:rsid w:val="2EFF9522"/>
    <w:rsid w:val="3F8E0098"/>
    <w:rsid w:val="45F5A632"/>
    <w:rsid w:val="5F9EAAC7"/>
    <w:rsid w:val="6BBA4939"/>
    <w:rsid w:val="6D9F3273"/>
    <w:rsid w:val="72DB2F87"/>
    <w:rsid w:val="73EFB6D9"/>
    <w:rsid w:val="77761D28"/>
    <w:rsid w:val="7DD9E472"/>
    <w:rsid w:val="7FAE61E6"/>
    <w:rsid w:val="7FEE947E"/>
    <w:rsid w:val="AD1DF70D"/>
    <w:rsid w:val="B2EEE237"/>
    <w:rsid w:val="B359CDE2"/>
    <w:rsid w:val="B7FD15E6"/>
    <w:rsid w:val="C3EDE682"/>
    <w:rsid w:val="C76FE963"/>
    <w:rsid w:val="D8EFCAA3"/>
    <w:rsid w:val="DB9C5650"/>
    <w:rsid w:val="F387DF85"/>
    <w:rsid w:val="F3BE4B0F"/>
    <w:rsid w:val="FA069155"/>
    <w:rsid w:val="FFFF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2025-02-19T23:24:00Z</dcterms:created>
  <dc:creator>Data</dc:creator>
  <cp:lastModifiedBy>新</cp:lastModifiedBy>
  <dcterms:modified xsi:type="dcterms:W3CDTF">2025-02-19T18:37:30Z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2C94AD029E8A01BB6C8BB567ED784410_42</vt:lpwstr>
  </property>
</Properties>
</file>